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36" w:rsidRDefault="008C4536" w:rsidP="008C4536">
      <w:pPr>
        <w:spacing w:after="240"/>
        <w:jc w:val="center"/>
        <w:rPr>
          <w:rFonts w:eastAsia="Times New Roman"/>
        </w:rPr>
      </w:pPr>
      <w:r>
        <w:rPr>
          <w:rFonts w:eastAsia="Times New Roman"/>
          <w:b/>
          <w:bCs/>
          <w:sz w:val="36"/>
          <w:szCs w:val="36"/>
        </w:rPr>
        <w:t>Tablighi Jamaat in Kazakhstan</w:t>
      </w:r>
      <w:r>
        <w:rPr>
          <w:rFonts w:eastAsia="Times New Roman"/>
          <w:b/>
          <w:bCs/>
          <w:sz w:val="36"/>
          <w:szCs w:val="36"/>
        </w:rPr>
        <w:br/>
      </w:r>
    </w:p>
    <w:p w:rsidR="008C4536" w:rsidRDefault="008C4536" w:rsidP="008C4536">
      <w:pPr>
        <w:spacing w:before="100" w:beforeAutospacing="1" w:after="100" w:afterAutospacing="1"/>
        <w:jc w:val="both"/>
      </w:pPr>
      <w:r>
        <w:rPr>
          <w:rFonts w:ascii="Garamond" w:hAnsi="Garamond"/>
          <w:b/>
          <w:bCs/>
          <w:sz w:val="36"/>
          <w:szCs w:val="36"/>
          <w:u w:val="single"/>
          <w:lang w:val="en-US"/>
        </w:rPr>
        <w:t>Question:</w:t>
      </w:r>
    </w:p>
    <w:p w:rsidR="008C4536" w:rsidRDefault="008C4536" w:rsidP="008C4536">
      <w:pPr>
        <w:spacing w:before="100" w:beforeAutospacing="1" w:after="100" w:afterAutospacing="1"/>
        <w:jc w:val="both"/>
      </w:pPr>
      <w:r>
        <w:rPr>
          <w:rFonts w:ascii="Garamond" w:hAnsi="Garamond"/>
          <w:sz w:val="28"/>
          <w:szCs w:val="28"/>
          <w:lang w:val="en-US"/>
        </w:rPr>
        <w:t xml:space="preserve">A request came to the </w:t>
      </w:r>
      <w:proofErr w:type="spellStart"/>
      <w:r>
        <w:rPr>
          <w:rFonts w:ascii="Garamond" w:hAnsi="Garamond"/>
          <w:sz w:val="28"/>
          <w:szCs w:val="28"/>
          <w:lang w:val="en-US"/>
        </w:rPr>
        <w:t>Darul</w:t>
      </w:r>
      <w:proofErr w:type="spellEnd"/>
      <w:r>
        <w:rPr>
          <w:rFonts w:ascii="Garamond" w:hAnsi="Garamond"/>
          <w:sz w:val="28"/>
          <w:szCs w:val="28"/>
          <w:lang w:val="en-US"/>
        </w:rPr>
        <w:t xml:space="preserve"> </w:t>
      </w:r>
      <w:proofErr w:type="spellStart"/>
      <w:r>
        <w:rPr>
          <w:rFonts w:ascii="Garamond" w:hAnsi="Garamond"/>
          <w:sz w:val="28"/>
          <w:szCs w:val="28"/>
          <w:lang w:val="en-US"/>
        </w:rPr>
        <w:t>Iftaa</w:t>
      </w:r>
      <w:proofErr w:type="spellEnd"/>
      <w:r>
        <w:rPr>
          <w:rFonts w:ascii="Garamond" w:hAnsi="Garamond"/>
          <w:sz w:val="28"/>
          <w:szCs w:val="28"/>
          <w:lang w:val="en-US"/>
        </w:rPr>
        <w:t xml:space="preserve"> for a </w:t>
      </w:r>
      <w:proofErr w:type="spellStart"/>
      <w:r>
        <w:rPr>
          <w:rFonts w:ascii="Garamond" w:hAnsi="Garamond"/>
          <w:sz w:val="28"/>
          <w:szCs w:val="28"/>
          <w:lang w:val="en-US"/>
        </w:rPr>
        <w:t>Fatwā</w:t>
      </w:r>
      <w:proofErr w:type="spellEnd"/>
      <w:r>
        <w:rPr>
          <w:rFonts w:ascii="Garamond" w:hAnsi="Garamond"/>
          <w:sz w:val="28"/>
          <w:szCs w:val="28"/>
          <w:lang w:val="en-US"/>
        </w:rPr>
        <w:t xml:space="preserve"> clarifying the motives of the </w:t>
      </w:r>
      <w:proofErr w:type="spellStart"/>
      <w:r>
        <w:rPr>
          <w:rFonts w:ascii="Garamond" w:hAnsi="Garamond"/>
          <w:sz w:val="28"/>
          <w:szCs w:val="28"/>
          <w:lang w:val="en-US"/>
        </w:rPr>
        <w:t>Tablīghī</w:t>
      </w:r>
      <w:proofErr w:type="spellEnd"/>
      <w:r>
        <w:rPr>
          <w:rFonts w:ascii="Garamond" w:hAnsi="Garamond"/>
          <w:sz w:val="28"/>
          <w:szCs w:val="28"/>
          <w:lang w:val="en-US"/>
        </w:rPr>
        <w:t xml:space="preserve"> </w:t>
      </w:r>
      <w:proofErr w:type="spellStart"/>
      <w:r>
        <w:rPr>
          <w:rFonts w:ascii="Garamond" w:hAnsi="Garamond"/>
          <w:sz w:val="28"/>
          <w:szCs w:val="28"/>
          <w:lang w:val="en-US"/>
        </w:rPr>
        <w:t>Jamāt</w:t>
      </w:r>
      <w:proofErr w:type="spellEnd"/>
      <w:r>
        <w:rPr>
          <w:rFonts w:ascii="Garamond" w:hAnsi="Garamond"/>
          <w:sz w:val="28"/>
          <w:szCs w:val="28"/>
          <w:lang w:val="en-US"/>
        </w:rPr>
        <w:t xml:space="preserve"> in order to present to the Kazakhstani court. According to the letter, the Kazakhstani government banned the movement of the </w:t>
      </w:r>
      <w:proofErr w:type="spellStart"/>
      <w:r>
        <w:rPr>
          <w:rFonts w:ascii="Garamond" w:hAnsi="Garamond"/>
          <w:sz w:val="28"/>
          <w:szCs w:val="28"/>
          <w:lang w:val="en-US"/>
        </w:rPr>
        <w:t>Tablīghī</w:t>
      </w:r>
      <w:proofErr w:type="spellEnd"/>
      <w:r>
        <w:rPr>
          <w:rFonts w:ascii="Garamond" w:hAnsi="Garamond"/>
          <w:sz w:val="28"/>
          <w:szCs w:val="28"/>
          <w:lang w:val="en-US"/>
        </w:rPr>
        <w:t xml:space="preserve"> </w:t>
      </w:r>
      <w:proofErr w:type="spellStart"/>
      <w:r>
        <w:rPr>
          <w:rFonts w:ascii="Garamond" w:hAnsi="Garamond"/>
          <w:sz w:val="28"/>
          <w:szCs w:val="28"/>
          <w:lang w:val="en-US"/>
        </w:rPr>
        <w:t>Jamāt</w:t>
      </w:r>
      <w:proofErr w:type="spellEnd"/>
      <w:r>
        <w:rPr>
          <w:rFonts w:ascii="Garamond" w:hAnsi="Garamond"/>
          <w:sz w:val="28"/>
          <w:szCs w:val="28"/>
          <w:lang w:val="en-US"/>
        </w:rPr>
        <w:t xml:space="preserve">. The </w:t>
      </w:r>
      <w:proofErr w:type="spellStart"/>
      <w:r>
        <w:rPr>
          <w:rFonts w:ascii="Garamond" w:hAnsi="Garamond"/>
          <w:sz w:val="28"/>
          <w:szCs w:val="28"/>
          <w:lang w:val="en-US"/>
        </w:rPr>
        <w:t>Tablīghī</w:t>
      </w:r>
      <w:proofErr w:type="spellEnd"/>
      <w:r>
        <w:rPr>
          <w:rFonts w:ascii="Garamond" w:hAnsi="Garamond"/>
          <w:sz w:val="28"/>
          <w:szCs w:val="28"/>
          <w:lang w:val="en-US"/>
        </w:rPr>
        <w:t xml:space="preserve"> </w:t>
      </w:r>
      <w:proofErr w:type="spellStart"/>
      <w:r>
        <w:rPr>
          <w:rFonts w:ascii="Garamond" w:hAnsi="Garamond"/>
          <w:sz w:val="28"/>
          <w:szCs w:val="28"/>
          <w:lang w:val="en-US"/>
        </w:rPr>
        <w:t>Jamāt</w:t>
      </w:r>
      <w:proofErr w:type="spellEnd"/>
      <w:r>
        <w:rPr>
          <w:rFonts w:ascii="Garamond" w:hAnsi="Garamond"/>
          <w:sz w:val="28"/>
          <w:szCs w:val="28"/>
          <w:lang w:val="en-US"/>
        </w:rPr>
        <w:t xml:space="preserve"> is no longer considered a religious movement in Kazakhstan and is classified as an extremist movement. </w:t>
      </w:r>
    </w:p>
    <w:p w:rsidR="008C4536" w:rsidRDefault="008C4536" w:rsidP="008C4536">
      <w:pPr>
        <w:spacing w:before="100" w:beforeAutospacing="1" w:after="100" w:afterAutospacing="1"/>
        <w:jc w:val="both"/>
      </w:pPr>
      <w:r>
        <w:rPr>
          <w:rFonts w:ascii="Garamond" w:hAnsi="Garamond"/>
          <w:sz w:val="28"/>
          <w:szCs w:val="28"/>
          <w:lang w:val="en-US"/>
        </w:rPr>
        <w:t xml:space="preserve">The </w:t>
      </w:r>
      <w:proofErr w:type="spellStart"/>
      <w:r>
        <w:rPr>
          <w:rFonts w:ascii="Garamond" w:hAnsi="Garamond"/>
          <w:sz w:val="28"/>
          <w:szCs w:val="28"/>
          <w:lang w:val="en-US"/>
        </w:rPr>
        <w:t>Fatwā</w:t>
      </w:r>
      <w:proofErr w:type="spellEnd"/>
      <w:r>
        <w:rPr>
          <w:rFonts w:ascii="Garamond" w:hAnsi="Garamond"/>
          <w:sz w:val="28"/>
          <w:szCs w:val="28"/>
          <w:lang w:val="en-US"/>
        </w:rPr>
        <w:t xml:space="preserve"> was presented to </w:t>
      </w:r>
      <w:proofErr w:type="spellStart"/>
      <w:r>
        <w:rPr>
          <w:rFonts w:ascii="Garamond" w:hAnsi="Garamond"/>
          <w:sz w:val="28"/>
          <w:szCs w:val="28"/>
          <w:lang w:val="en-US"/>
        </w:rPr>
        <w:t>Sheikhul</w:t>
      </w:r>
      <w:proofErr w:type="spellEnd"/>
      <w:r>
        <w:rPr>
          <w:rFonts w:ascii="Garamond" w:hAnsi="Garamond"/>
          <w:sz w:val="28"/>
          <w:szCs w:val="28"/>
          <w:lang w:val="en-US"/>
        </w:rPr>
        <w:t xml:space="preserve"> </w:t>
      </w:r>
      <w:proofErr w:type="spellStart"/>
      <w:r>
        <w:rPr>
          <w:rFonts w:ascii="Garamond" w:hAnsi="Garamond"/>
          <w:sz w:val="28"/>
          <w:szCs w:val="28"/>
          <w:lang w:val="en-US"/>
        </w:rPr>
        <w:t>Hadith</w:t>
      </w:r>
      <w:proofErr w:type="spellEnd"/>
      <w:r>
        <w:rPr>
          <w:rFonts w:ascii="Garamond" w:hAnsi="Garamond"/>
          <w:sz w:val="28"/>
          <w:szCs w:val="28"/>
          <w:lang w:val="en-US"/>
        </w:rPr>
        <w:t xml:space="preserve"> </w:t>
      </w:r>
      <w:proofErr w:type="spellStart"/>
      <w:r>
        <w:rPr>
          <w:rFonts w:ascii="Garamond" w:hAnsi="Garamond"/>
          <w:sz w:val="28"/>
          <w:szCs w:val="28"/>
          <w:lang w:val="en-US"/>
        </w:rPr>
        <w:t>Hadhrat</w:t>
      </w:r>
      <w:proofErr w:type="spellEnd"/>
      <w:r>
        <w:rPr>
          <w:rFonts w:ascii="Garamond" w:hAnsi="Garamond"/>
          <w:sz w:val="28"/>
          <w:szCs w:val="28"/>
          <w:lang w:val="en-US"/>
        </w:rPr>
        <w:t xml:space="preserve"> Moulana </w:t>
      </w:r>
      <w:proofErr w:type="spellStart"/>
      <w:r>
        <w:rPr>
          <w:rFonts w:ascii="Garamond" w:hAnsi="Garamond"/>
          <w:sz w:val="28"/>
          <w:szCs w:val="28"/>
          <w:lang w:val="en-US"/>
        </w:rPr>
        <w:t>Fazlur</w:t>
      </w:r>
      <w:proofErr w:type="spellEnd"/>
      <w:r>
        <w:rPr>
          <w:rFonts w:ascii="Garamond" w:hAnsi="Garamond"/>
          <w:sz w:val="28"/>
          <w:szCs w:val="28"/>
          <w:lang w:val="en-US"/>
        </w:rPr>
        <w:t xml:space="preserve"> </w:t>
      </w:r>
      <w:proofErr w:type="spellStart"/>
      <w:r>
        <w:rPr>
          <w:rFonts w:ascii="Garamond" w:hAnsi="Garamond"/>
          <w:sz w:val="28"/>
          <w:szCs w:val="28"/>
          <w:lang w:val="en-US"/>
        </w:rPr>
        <w:t>Rahman</w:t>
      </w:r>
      <w:proofErr w:type="spellEnd"/>
      <w:r>
        <w:rPr>
          <w:rFonts w:ascii="Garamond" w:hAnsi="Garamond"/>
          <w:sz w:val="28"/>
          <w:szCs w:val="28"/>
          <w:lang w:val="en-US"/>
        </w:rPr>
        <w:t xml:space="preserve"> </w:t>
      </w:r>
      <w:proofErr w:type="spellStart"/>
      <w:r>
        <w:rPr>
          <w:rFonts w:ascii="Garamond" w:hAnsi="Garamond"/>
          <w:sz w:val="28"/>
          <w:szCs w:val="28"/>
          <w:lang w:val="en-US"/>
        </w:rPr>
        <w:t>Azmi</w:t>
      </w:r>
      <w:proofErr w:type="spellEnd"/>
      <w:r>
        <w:rPr>
          <w:rFonts w:ascii="Garamond" w:hAnsi="Garamond"/>
          <w:sz w:val="28"/>
          <w:szCs w:val="28"/>
          <w:lang w:val="en-US"/>
        </w:rPr>
        <w:t xml:space="preserve"> </w:t>
      </w:r>
      <w:proofErr w:type="spellStart"/>
      <w:r>
        <w:rPr>
          <w:rFonts w:ascii="Garamond" w:hAnsi="Garamond"/>
          <w:sz w:val="28"/>
          <w:szCs w:val="28"/>
          <w:lang w:val="en-US"/>
        </w:rPr>
        <w:t>Saheb</w:t>
      </w:r>
      <w:proofErr w:type="spellEnd"/>
      <w:r>
        <w:rPr>
          <w:rFonts w:ascii="Garamond" w:hAnsi="Garamond"/>
          <w:sz w:val="28"/>
          <w:szCs w:val="28"/>
          <w:lang w:val="en-US"/>
        </w:rPr>
        <w:t xml:space="preserve"> </w:t>
      </w:r>
      <w:proofErr w:type="spellStart"/>
      <w:r>
        <w:rPr>
          <w:rFonts w:ascii="Garamond" w:hAnsi="Garamond"/>
          <w:i/>
          <w:iCs/>
          <w:sz w:val="28"/>
          <w:szCs w:val="28"/>
          <w:lang w:val="en-US"/>
        </w:rPr>
        <w:t>Damat</w:t>
      </w:r>
      <w:proofErr w:type="spellEnd"/>
      <w:r>
        <w:rPr>
          <w:rFonts w:ascii="Garamond" w:hAnsi="Garamond"/>
          <w:i/>
          <w:iCs/>
          <w:sz w:val="28"/>
          <w:szCs w:val="28"/>
          <w:lang w:val="en-US"/>
        </w:rPr>
        <w:t xml:space="preserve"> </w:t>
      </w:r>
      <w:proofErr w:type="spellStart"/>
      <w:r>
        <w:rPr>
          <w:rFonts w:ascii="Garamond" w:hAnsi="Garamond"/>
          <w:i/>
          <w:iCs/>
          <w:sz w:val="28"/>
          <w:szCs w:val="28"/>
          <w:lang w:val="en-US"/>
        </w:rPr>
        <w:t>Barakatuhum</w:t>
      </w:r>
      <w:proofErr w:type="spellEnd"/>
      <w:r>
        <w:rPr>
          <w:rFonts w:ascii="Garamond" w:hAnsi="Garamond"/>
          <w:sz w:val="28"/>
          <w:szCs w:val="28"/>
          <w:lang w:val="en-US"/>
        </w:rPr>
        <w:t xml:space="preserve">. </w:t>
      </w:r>
      <w:proofErr w:type="spellStart"/>
      <w:r>
        <w:rPr>
          <w:rFonts w:ascii="Garamond" w:hAnsi="Garamond"/>
          <w:sz w:val="28"/>
          <w:szCs w:val="28"/>
          <w:lang w:val="en-US"/>
        </w:rPr>
        <w:t>Hadhrat</w:t>
      </w:r>
      <w:proofErr w:type="spellEnd"/>
      <w:r>
        <w:rPr>
          <w:rFonts w:ascii="Garamond" w:hAnsi="Garamond"/>
          <w:sz w:val="28"/>
          <w:szCs w:val="28"/>
          <w:lang w:val="en-US"/>
        </w:rPr>
        <w:t xml:space="preserve"> checked the </w:t>
      </w:r>
      <w:proofErr w:type="spellStart"/>
      <w:r>
        <w:rPr>
          <w:rFonts w:ascii="Garamond" w:hAnsi="Garamond"/>
          <w:sz w:val="28"/>
          <w:szCs w:val="28"/>
          <w:lang w:val="en-US"/>
        </w:rPr>
        <w:t>Fatwā</w:t>
      </w:r>
      <w:proofErr w:type="spellEnd"/>
      <w:r>
        <w:rPr>
          <w:rFonts w:ascii="Garamond" w:hAnsi="Garamond"/>
          <w:sz w:val="28"/>
          <w:szCs w:val="28"/>
          <w:lang w:val="en-US"/>
        </w:rPr>
        <w:t xml:space="preserve"> and approved it.</w:t>
      </w:r>
    </w:p>
    <w:p w:rsidR="008C4536" w:rsidRDefault="008C4536" w:rsidP="008C4536">
      <w:pPr>
        <w:spacing w:before="100" w:beforeAutospacing="1" w:after="100" w:afterAutospacing="1"/>
        <w:jc w:val="both"/>
      </w:pPr>
      <w:r>
        <w:rPr>
          <w:rFonts w:ascii="Garamond" w:hAnsi="Garamond"/>
          <w:sz w:val="28"/>
          <w:szCs w:val="28"/>
          <w:lang w:val="en-US"/>
        </w:rPr>
        <w:t> </w:t>
      </w:r>
    </w:p>
    <w:p w:rsidR="008C4536" w:rsidRDefault="008C4536" w:rsidP="008C4536">
      <w:pPr>
        <w:spacing w:before="100" w:beforeAutospacing="1" w:after="100" w:afterAutospacing="1"/>
        <w:jc w:val="both"/>
      </w:pPr>
      <w:r>
        <w:rPr>
          <w:rFonts w:ascii="Garamond" w:hAnsi="Garamond"/>
          <w:b/>
          <w:bCs/>
          <w:sz w:val="36"/>
          <w:szCs w:val="36"/>
          <w:u w:val="single"/>
          <w:lang w:val="en-US"/>
        </w:rPr>
        <w:t xml:space="preserve">The </w:t>
      </w:r>
      <w:proofErr w:type="spellStart"/>
      <w:r>
        <w:rPr>
          <w:rFonts w:ascii="Garamond" w:hAnsi="Garamond"/>
          <w:b/>
          <w:bCs/>
          <w:sz w:val="36"/>
          <w:szCs w:val="36"/>
          <w:u w:val="single"/>
          <w:lang w:val="en-US"/>
        </w:rPr>
        <w:t>Fatwā</w:t>
      </w:r>
      <w:proofErr w:type="spellEnd"/>
      <w:r>
        <w:rPr>
          <w:rFonts w:ascii="Garamond" w:hAnsi="Garamond"/>
          <w:b/>
          <w:bCs/>
          <w:sz w:val="36"/>
          <w:szCs w:val="36"/>
          <w:u w:val="single"/>
          <w:lang w:val="en-US"/>
        </w:rPr>
        <w:t>:</w:t>
      </w:r>
    </w:p>
    <w:p w:rsidR="008C4536" w:rsidRDefault="008C4536" w:rsidP="008C4536">
      <w:pPr>
        <w:spacing w:before="100" w:beforeAutospacing="1" w:after="100" w:afterAutospacing="1"/>
        <w:jc w:val="both"/>
      </w:pPr>
      <w:r>
        <w:rPr>
          <w:rFonts w:ascii="Garamond" w:hAnsi="Garamond"/>
          <w:sz w:val="28"/>
          <w:szCs w:val="28"/>
          <w:lang w:val="en-US"/>
        </w:rPr>
        <w:t xml:space="preserve">The </w:t>
      </w:r>
      <w:proofErr w:type="spellStart"/>
      <w:r>
        <w:rPr>
          <w:rFonts w:ascii="Garamond" w:hAnsi="Garamond"/>
          <w:sz w:val="28"/>
          <w:szCs w:val="28"/>
          <w:lang w:val="en-US"/>
        </w:rPr>
        <w:t>Honourable</w:t>
      </w:r>
      <w:proofErr w:type="spellEnd"/>
      <w:r>
        <w:rPr>
          <w:rFonts w:ascii="Garamond" w:hAnsi="Garamond"/>
          <w:sz w:val="28"/>
          <w:szCs w:val="28"/>
          <w:lang w:val="en-US"/>
        </w:rPr>
        <w:t xml:space="preserve"> Judge,</w:t>
      </w:r>
    </w:p>
    <w:p w:rsidR="008C4536" w:rsidRDefault="008C4536" w:rsidP="008C4536">
      <w:pPr>
        <w:spacing w:before="100" w:beforeAutospacing="1" w:after="100" w:afterAutospacing="1"/>
        <w:jc w:val="both"/>
      </w:pPr>
      <w:proofErr w:type="spellStart"/>
      <w:proofErr w:type="gramStart"/>
      <w:r>
        <w:rPr>
          <w:rFonts w:ascii="Garamond" w:hAnsi="Garamond"/>
          <w:sz w:val="28"/>
          <w:szCs w:val="28"/>
          <w:lang w:val="en-US"/>
        </w:rPr>
        <w:t>Assalamualaikum</w:t>
      </w:r>
      <w:proofErr w:type="spellEnd"/>
      <w:r>
        <w:rPr>
          <w:rFonts w:ascii="Garamond" w:hAnsi="Garamond"/>
          <w:sz w:val="28"/>
          <w:szCs w:val="28"/>
          <w:lang w:val="en-US"/>
        </w:rPr>
        <w:t>.</w:t>
      </w:r>
      <w:proofErr w:type="gramEnd"/>
    </w:p>
    <w:p w:rsidR="008C4536" w:rsidRDefault="008C4536" w:rsidP="008C4536">
      <w:pPr>
        <w:spacing w:before="100" w:beforeAutospacing="1" w:after="100" w:afterAutospacing="1"/>
        <w:jc w:val="both"/>
      </w:pPr>
      <w:r>
        <w:rPr>
          <w:rFonts w:ascii="Garamond" w:hAnsi="Garamond"/>
          <w:sz w:val="28"/>
          <w:szCs w:val="28"/>
          <w:lang w:val="en-US"/>
        </w:rPr>
        <w:t xml:space="preserve">In response to a request seeking clarity on the </w:t>
      </w:r>
      <w:proofErr w:type="spellStart"/>
      <w:r>
        <w:rPr>
          <w:rFonts w:ascii="Garamond" w:hAnsi="Garamond"/>
          <w:sz w:val="28"/>
          <w:szCs w:val="28"/>
          <w:lang w:val="en-US"/>
        </w:rPr>
        <w:t>Tablīgh</w:t>
      </w:r>
      <w:proofErr w:type="spellEnd"/>
      <w:r>
        <w:rPr>
          <w:rFonts w:ascii="Garamond" w:hAnsi="Garamond"/>
          <w:sz w:val="28"/>
          <w:szCs w:val="28"/>
          <w:lang w:val="en-US"/>
        </w:rPr>
        <w:t xml:space="preserve"> </w:t>
      </w:r>
      <w:proofErr w:type="spellStart"/>
      <w:r>
        <w:rPr>
          <w:rFonts w:ascii="Garamond" w:hAnsi="Garamond"/>
          <w:sz w:val="28"/>
          <w:szCs w:val="28"/>
          <w:lang w:val="en-US"/>
        </w:rPr>
        <w:t>Jamāt</w:t>
      </w:r>
      <w:proofErr w:type="spellEnd"/>
      <w:r>
        <w:rPr>
          <w:rFonts w:ascii="Garamond" w:hAnsi="Garamond"/>
          <w:sz w:val="28"/>
          <w:szCs w:val="28"/>
          <w:lang w:val="en-US"/>
        </w:rPr>
        <w:t xml:space="preserve"> movement, we hereby present the following.</w:t>
      </w:r>
    </w:p>
    <w:p w:rsidR="008C4536" w:rsidRDefault="008C4536" w:rsidP="008C4536">
      <w:pPr>
        <w:spacing w:before="100" w:beforeAutospacing="1" w:after="100" w:afterAutospacing="1"/>
        <w:jc w:val="both"/>
      </w:pPr>
      <w:r>
        <w:rPr>
          <w:rFonts w:ascii="Garamond" w:hAnsi="Garamond"/>
          <w:sz w:val="28"/>
          <w:szCs w:val="28"/>
          <w:lang w:val="en-US"/>
        </w:rPr>
        <w:t>An independent investigation on any issue is the corner stone of justice and fairness as also understood from the following verse of the Holy Quran:</w:t>
      </w:r>
    </w:p>
    <w:p w:rsidR="008C4536" w:rsidRDefault="008C4536" w:rsidP="008C4536">
      <w:pPr>
        <w:bidi/>
        <w:spacing w:before="100" w:beforeAutospacing="1" w:after="100" w:afterAutospacing="1"/>
        <w:jc w:val="both"/>
      </w:pPr>
      <w:r>
        <w:rPr>
          <w:rFonts w:ascii="Traditional Arabic" w:hAnsi="Traditional Arabic" w:cs="Traditional Arabic"/>
          <w:sz w:val="32"/>
          <w:szCs w:val="32"/>
          <w:rtl/>
          <w:lang w:bidi="ur-PK"/>
        </w:rPr>
        <w:t>يَا أَيُّهَا الَّذِينَ آمَنُوا إِنْ جَاءَكُمْ فَاسِقٌ بِنَبَإٍ فَتَبَيَّنُوا أَنْ تُصِيبُوا قَوْمًا بِجَهَالَةٍ فَتُصْبِحُوا عَلَى مَا فَعَلْتُمْ نَادِمِينَ (سورة الحجرات، رقم الآية 6)</w:t>
      </w:r>
    </w:p>
    <w:p w:rsidR="008C4536" w:rsidRDefault="008C4536" w:rsidP="008C4536">
      <w:pPr>
        <w:spacing w:before="100" w:beforeAutospacing="1" w:after="100" w:afterAutospacing="1"/>
        <w:jc w:val="both"/>
        <w:rPr>
          <w:rtl/>
        </w:rPr>
      </w:pPr>
      <w:r>
        <w:rPr>
          <w:rFonts w:ascii="Garamond" w:hAnsi="Garamond"/>
          <w:b/>
          <w:bCs/>
          <w:i/>
          <w:iCs/>
          <w:sz w:val="32"/>
          <w:szCs w:val="32"/>
          <w:lang w:val="en-US"/>
        </w:rPr>
        <w:t>O’ those who believe, if a sinful person brings you a report, verify its authenticity, lest you harm a people out of ignorance then become remorseful on what you did. (</w:t>
      </w:r>
      <w:proofErr w:type="spellStart"/>
      <w:r>
        <w:rPr>
          <w:rFonts w:ascii="Garamond" w:hAnsi="Garamond"/>
          <w:b/>
          <w:bCs/>
          <w:i/>
          <w:iCs/>
          <w:sz w:val="32"/>
          <w:szCs w:val="32"/>
          <w:lang w:val="en-US"/>
        </w:rPr>
        <w:t>Qurān</w:t>
      </w:r>
      <w:proofErr w:type="spellEnd"/>
      <w:r>
        <w:rPr>
          <w:rFonts w:ascii="Garamond" w:hAnsi="Garamond"/>
          <w:b/>
          <w:bCs/>
          <w:i/>
          <w:iCs/>
          <w:sz w:val="32"/>
          <w:szCs w:val="32"/>
          <w:lang w:val="en-US"/>
        </w:rPr>
        <w:t xml:space="preserve"> 49:6)</w:t>
      </w:r>
    </w:p>
    <w:p w:rsidR="008C4536" w:rsidRDefault="008C4536" w:rsidP="008C4536">
      <w:pPr>
        <w:spacing w:before="100" w:beforeAutospacing="1" w:after="100" w:afterAutospacing="1"/>
        <w:jc w:val="both"/>
        <w:rPr>
          <w:rFonts w:hint="cs"/>
          <w:rtl/>
        </w:rPr>
      </w:pPr>
      <w:r>
        <w:rPr>
          <w:rFonts w:ascii="Garamond" w:hAnsi="Garamond"/>
          <w:sz w:val="28"/>
          <w:szCs w:val="28"/>
          <w:lang w:val="en-US"/>
        </w:rPr>
        <w:t>We understand the importance of political stability and the need for the intelligence of the Government to closely observe and monitor the activities of various organizations. We appreciate that and welcome such scrutiny as that process helps to filter the true and sincere organizations working for the general welfare of mankind from disruptive ones.</w:t>
      </w:r>
    </w:p>
    <w:p w:rsidR="008C4536" w:rsidRDefault="008C4536" w:rsidP="008C4536">
      <w:pPr>
        <w:spacing w:before="100" w:beforeAutospacing="1" w:after="100" w:afterAutospacing="1"/>
        <w:jc w:val="both"/>
      </w:pPr>
      <w:r>
        <w:rPr>
          <w:rFonts w:ascii="Garamond" w:hAnsi="Garamond"/>
          <w:sz w:val="28"/>
          <w:szCs w:val="28"/>
          <w:lang w:val="en-US"/>
        </w:rPr>
        <w:t xml:space="preserve">We take this privilege to introduce your </w:t>
      </w:r>
      <w:proofErr w:type="spellStart"/>
      <w:r>
        <w:rPr>
          <w:rFonts w:ascii="Garamond" w:hAnsi="Garamond"/>
          <w:sz w:val="28"/>
          <w:szCs w:val="28"/>
          <w:lang w:val="en-US"/>
        </w:rPr>
        <w:t>honourable</w:t>
      </w:r>
      <w:proofErr w:type="spellEnd"/>
      <w:r>
        <w:rPr>
          <w:rFonts w:ascii="Garamond" w:hAnsi="Garamond"/>
          <w:sz w:val="28"/>
          <w:szCs w:val="28"/>
          <w:lang w:val="en-US"/>
        </w:rPr>
        <w:t xml:space="preserve"> self to the noble activities of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w:t>
      </w:r>
    </w:p>
    <w:p w:rsidR="008C4536" w:rsidRDefault="008C4536" w:rsidP="008C4536">
      <w:pPr>
        <w:spacing w:before="100" w:beforeAutospacing="1" w:after="100" w:afterAutospacing="1"/>
        <w:jc w:val="both"/>
      </w:pPr>
      <w:r>
        <w:rPr>
          <w:rFonts w:ascii="Garamond" w:hAnsi="Garamond"/>
          <w:sz w:val="28"/>
          <w:szCs w:val="28"/>
          <w:lang w:val="en-US"/>
        </w:rPr>
        <w:lastRenderedPageBreak/>
        <w:t xml:space="preserve">At the outset,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is apolitical and has no political agenda at all.</w:t>
      </w:r>
    </w:p>
    <w:p w:rsidR="008C4536" w:rsidRDefault="008C4536" w:rsidP="008C4536">
      <w:pPr>
        <w:spacing w:before="100" w:beforeAutospacing="1" w:after="100" w:afterAutospacing="1"/>
        <w:jc w:val="both"/>
      </w:pPr>
      <w:r>
        <w:rPr>
          <w:rFonts w:ascii="Garamond" w:hAnsi="Garamond"/>
          <w:sz w:val="28"/>
          <w:szCs w:val="28"/>
          <w:lang w:val="en-US"/>
        </w:rPr>
        <w:t xml:space="preserve">The core of the movement is to create </w:t>
      </w:r>
      <w:proofErr w:type="spellStart"/>
      <w:r>
        <w:rPr>
          <w:rFonts w:ascii="Garamond" w:hAnsi="Garamond"/>
          <w:sz w:val="28"/>
          <w:szCs w:val="28"/>
          <w:lang w:val="en-US"/>
        </w:rPr>
        <w:t>Allāh</w:t>
      </w:r>
      <w:proofErr w:type="spellEnd"/>
      <w:r>
        <w:rPr>
          <w:rFonts w:ascii="Garamond" w:hAnsi="Garamond"/>
          <w:sz w:val="28"/>
          <w:szCs w:val="28"/>
          <w:lang w:val="en-US"/>
        </w:rPr>
        <w:t xml:space="preserve"> consciousness in people and make them obedient slaves of </w:t>
      </w:r>
      <w:proofErr w:type="spellStart"/>
      <w:r>
        <w:rPr>
          <w:rFonts w:ascii="Garamond" w:hAnsi="Garamond"/>
          <w:sz w:val="28"/>
          <w:szCs w:val="28"/>
          <w:lang w:val="en-US"/>
        </w:rPr>
        <w:t>Allāh</w:t>
      </w:r>
      <w:proofErr w:type="spellEnd"/>
      <w:r>
        <w:rPr>
          <w:rFonts w:ascii="Garamond" w:hAnsi="Garamond"/>
          <w:sz w:val="28"/>
          <w:szCs w:val="28"/>
          <w:lang w:val="en-US"/>
        </w:rPr>
        <w:t xml:space="preserve">. The aim and objective of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is to secure eternal success for every human being and to prepare for life after death and accountability to </w:t>
      </w:r>
      <w:proofErr w:type="spellStart"/>
      <w:r>
        <w:rPr>
          <w:rFonts w:ascii="Garamond" w:hAnsi="Garamond"/>
          <w:sz w:val="28"/>
          <w:szCs w:val="28"/>
          <w:lang w:val="en-US"/>
        </w:rPr>
        <w:t>Allāh</w:t>
      </w:r>
      <w:proofErr w:type="spellEnd"/>
      <w:r>
        <w:rPr>
          <w:rFonts w:ascii="Garamond" w:hAnsi="Garamond"/>
          <w:sz w:val="28"/>
          <w:szCs w:val="28"/>
          <w:lang w:val="en-US"/>
        </w:rPr>
        <w:t xml:space="preserve">.    </w:t>
      </w:r>
    </w:p>
    <w:p w:rsidR="008C4536" w:rsidRDefault="008C4536" w:rsidP="008C4536">
      <w:pPr>
        <w:spacing w:before="100" w:beforeAutospacing="1" w:after="100" w:afterAutospacing="1"/>
        <w:jc w:val="both"/>
      </w:pPr>
      <w:r>
        <w:rPr>
          <w:rFonts w:ascii="Garamond" w:hAnsi="Garamond"/>
          <w:sz w:val="28"/>
          <w:szCs w:val="28"/>
          <w:lang w:val="en-US"/>
        </w:rPr>
        <w:t xml:space="preserve">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instills this sense of responsibility in every person and creates in him the desire to sacrifice his time and resources to come out in the path of </w:t>
      </w:r>
      <w:proofErr w:type="spellStart"/>
      <w:r>
        <w:rPr>
          <w:rFonts w:ascii="Garamond" w:hAnsi="Garamond"/>
          <w:sz w:val="28"/>
          <w:szCs w:val="28"/>
          <w:lang w:val="en-US"/>
        </w:rPr>
        <w:t>Allāh</w:t>
      </w:r>
      <w:proofErr w:type="spellEnd"/>
      <w:r>
        <w:rPr>
          <w:rFonts w:ascii="Garamond" w:hAnsi="Garamond"/>
          <w:sz w:val="28"/>
          <w:szCs w:val="28"/>
          <w:lang w:val="en-US"/>
        </w:rPr>
        <w:t xml:space="preserve"> for self-reformation and to inspire others. </w:t>
      </w:r>
    </w:p>
    <w:p w:rsidR="008C4536" w:rsidRDefault="008C4536" w:rsidP="008C4536">
      <w:pPr>
        <w:spacing w:before="100" w:beforeAutospacing="1" w:after="100" w:afterAutospacing="1"/>
        <w:jc w:val="both"/>
      </w:pPr>
      <w:r>
        <w:rPr>
          <w:rFonts w:ascii="Garamond" w:hAnsi="Garamond"/>
          <w:sz w:val="28"/>
          <w:szCs w:val="28"/>
          <w:lang w:val="en-US"/>
        </w:rPr>
        <w:t xml:space="preserve">This self-sacrifice approach driven by </w:t>
      </w:r>
      <w:proofErr w:type="spellStart"/>
      <w:r>
        <w:rPr>
          <w:rFonts w:ascii="Garamond" w:hAnsi="Garamond"/>
          <w:sz w:val="28"/>
          <w:szCs w:val="28"/>
          <w:lang w:val="en-US"/>
        </w:rPr>
        <w:t>Allāh</w:t>
      </w:r>
      <w:proofErr w:type="spellEnd"/>
      <w:r>
        <w:rPr>
          <w:rFonts w:ascii="Garamond" w:hAnsi="Garamond"/>
          <w:sz w:val="28"/>
          <w:szCs w:val="28"/>
          <w:lang w:val="en-US"/>
        </w:rPr>
        <w:t xml:space="preserve"> consciousness and concern for eternal success has been proven to be exceptionally successful throughout the world. Millions of people have reformed their lives and started coming to the </w:t>
      </w:r>
      <w:proofErr w:type="spellStart"/>
      <w:r>
        <w:rPr>
          <w:rFonts w:ascii="Garamond" w:hAnsi="Garamond"/>
          <w:sz w:val="28"/>
          <w:szCs w:val="28"/>
          <w:lang w:val="en-US"/>
        </w:rPr>
        <w:t>Masjids</w:t>
      </w:r>
      <w:proofErr w:type="spellEnd"/>
      <w:r>
        <w:rPr>
          <w:rFonts w:ascii="Garamond" w:hAnsi="Garamond"/>
          <w:sz w:val="28"/>
          <w:szCs w:val="28"/>
          <w:lang w:val="en-US"/>
        </w:rPr>
        <w:t xml:space="preserve"> to perform </w:t>
      </w:r>
      <w:proofErr w:type="spellStart"/>
      <w:r>
        <w:rPr>
          <w:rFonts w:ascii="Garamond" w:hAnsi="Garamond"/>
          <w:sz w:val="28"/>
          <w:szCs w:val="28"/>
          <w:lang w:val="en-US"/>
        </w:rPr>
        <w:t>Salāh</w:t>
      </w:r>
      <w:proofErr w:type="spellEnd"/>
      <w:r>
        <w:rPr>
          <w:rFonts w:ascii="Garamond" w:hAnsi="Garamond"/>
          <w:sz w:val="28"/>
          <w:szCs w:val="28"/>
          <w:lang w:val="en-US"/>
        </w:rPr>
        <w:t xml:space="preserve">. They have changed their lives from immorality and shamelessness to being spiritually motivated. They have eradicated the debasing qualities and spiritual illnesses from their hearts and have replaced them with noble characteristics such as sincerity, humility, kindness, and well-wishing for all the creation of </w:t>
      </w:r>
      <w:proofErr w:type="spellStart"/>
      <w:r>
        <w:rPr>
          <w:rFonts w:ascii="Garamond" w:hAnsi="Garamond"/>
          <w:sz w:val="28"/>
          <w:szCs w:val="28"/>
          <w:lang w:val="en-US"/>
        </w:rPr>
        <w:t>Allāh</w:t>
      </w:r>
      <w:proofErr w:type="spellEnd"/>
      <w:r>
        <w:rPr>
          <w:rFonts w:ascii="Garamond" w:hAnsi="Garamond"/>
          <w:sz w:val="28"/>
          <w:szCs w:val="28"/>
          <w:lang w:val="en-US"/>
        </w:rPr>
        <w:t xml:space="preserve"> including non-Muslims and animals.</w:t>
      </w:r>
    </w:p>
    <w:p w:rsidR="008C4536" w:rsidRDefault="008C4536" w:rsidP="008C4536">
      <w:pPr>
        <w:spacing w:before="100" w:beforeAutospacing="1" w:after="100" w:afterAutospacing="1"/>
        <w:jc w:val="both"/>
      </w:pPr>
      <w:r>
        <w:rPr>
          <w:rFonts w:ascii="Garamond" w:hAnsi="Garamond"/>
          <w:sz w:val="28"/>
          <w:szCs w:val="28"/>
          <w:lang w:val="en-US"/>
        </w:rPr>
        <w:t xml:space="preserve">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has impacted many nations and communities and inculcated a great sense of responsibility in people. The core message of focusing on </w:t>
      </w:r>
      <w:proofErr w:type="spellStart"/>
      <w:r>
        <w:rPr>
          <w:rFonts w:ascii="Garamond" w:hAnsi="Garamond"/>
          <w:sz w:val="28"/>
          <w:szCs w:val="28"/>
          <w:lang w:val="en-US"/>
        </w:rPr>
        <w:t>Allāh</w:t>
      </w:r>
      <w:proofErr w:type="spellEnd"/>
      <w:r>
        <w:rPr>
          <w:rFonts w:ascii="Garamond" w:hAnsi="Garamond"/>
          <w:sz w:val="28"/>
          <w:szCs w:val="28"/>
          <w:lang w:val="en-US"/>
        </w:rPr>
        <w:t xml:space="preserve"> and placing one’s trust in </w:t>
      </w:r>
      <w:proofErr w:type="spellStart"/>
      <w:r>
        <w:rPr>
          <w:rFonts w:ascii="Garamond" w:hAnsi="Garamond"/>
          <w:sz w:val="28"/>
          <w:szCs w:val="28"/>
          <w:lang w:val="en-US"/>
        </w:rPr>
        <w:t>Allāh</w:t>
      </w:r>
      <w:proofErr w:type="spellEnd"/>
      <w:r>
        <w:rPr>
          <w:rFonts w:ascii="Garamond" w:hAnsi="Garamond"/>
          <w:sz w:val="28"/>
          <w:szCs w:val="28"/>
          <w:lang w:val="en-US"/>
        </w:rPr>
        <w:t xml:space="preserve"> (</w:t>
      </w:r>
      <w:proofErr w:type="spellStart"/>
      <w:r>
        <w:rPr>
          <w:rFonts w:ascii="Garamond" w:hAnsi="Garamond"/>
          <w:sz w:val="28"/>
          <w:szCs w:val="28"/>
          <w:lang w:val="en-US"/>
        </w:rPr>
        <w:t>Imān</w:t>
      </w:r>
      <w:proofErr w:type="spellEnd"/>
      <w:r>
        <w:rPr>
          <w:rFonts w:ascii="Garamond" w:hAnsi="Garamond"/>
          <w:sz w:val="28"/>
          <w:szCs w:val="28"/>
          <w:lang w:val="en-US"/>
        </w:rPr>
        <w:t xml:space="preserve"> and </w:t>
      </w:r>
      <w:proofErr w:type="spellStart"/>
      <w:r>
        <w:rPr>
          <w:rFonts w:ascii="Garamond" w:hAnsi="Garamond"/>
          <w:sz w:val="28"/>
          <w:szCs w:val="28"/>
          <w:lang w:val="en-US"/>
        </w:rPr>
        <w:t>Yaqīn</w:t>
      </w:r>
      <w:proofErr w:type="spellEnd"/>
      <w:r>
        <w:rPr>
          <w:rFonts w:ascii="Garamond" w:hAnsi="Garamond"/>
          <w:sz w:val="28"/>
          <w:szCs w:val="28"/>
          <w:lang w:val="en-US"/>
        </w:rPr>
        <w:t>) has made:</w:t>
      </w:r>
    </w:p>
    <w:p w:rsidR="008C4536" w:rsidRDefault="008C4536" w:rsidP="008C4536">
      <w:pPr>
        <w:spacing w:before="100" w:beforeAutospacing="1" w:after="100" w:afterAutospacing="1"/>
        <w:ind w:left="720" w:hanging="360"/>
        <w:jc w:val="both"/>
      </w:pPr>
      <w:r>
        <w:rPr>
          <w:rFonts w:ascii="Garamond" w:hAnsi="Garamond"/>
          <w:sz w:val="28"/>
          <w:szCs w:val="28"/>
          <w:lang w:val="en-US"/>
        </w:rPr>
        <w:t>a)</w:t>
      </w:r>
      <w:r>
        <w:rPr>
          <w:rFonts w:ascii="Garamond" w:hAnsi="Garamond"/>
          <w:sz w:val="14"/>
          <w:szCs w:val="14"/>
          <w:lang w:val="en-US"/>
        </w:rPr>
        <w:t xml:space="preserve">     </w:t>
      </w:r>
      <w:r>
        <w:rPr>
          <w:rFonts w:ascii="Garamond" w:hAnsi="Garamond"/>
          <w:sz w:val="28"/>
          <w:szCs w:val="28"/>
          <w:lang w:val="en-US"/>
        </w:rPr>
        <w:t xml:space="preserve">The poor to be content with their lot. </w:t>
      </w:r>
    </w:p>
    <w:p w:rsidR="008C4536" w:rsidRDefault="008C4536" w:rsidP="008C4536">
      <w:pPr>
        <w:spacing w:before="100" w:beforeAutospacing="1" w:after="100" w:afterAutospacing="1"/>
        <w:ind w:left="720" w:hanging="360"/>
        <w:jc w:val="both"/>
      </w:pPr>
      <w:r>
        <w:rPr>
          <w:rFonts w:ascii="Garamond" w:hAnsi="Garamond"/>
          <w:sz w:val="28"/>
          <w:szCs w:val="28"/>
          <w:lang w:val="en-US"/>
        </w:rPr>
        <w:t>b)</w:t>
      </w:r>
      <w:r>
        <w:rPr>
          <w:rFonts w:ascii="Garamond" w:hAnsi="Garamond"/>
          <w:sz w:val="14"/>
          <w:szCs w:val="14"/>
          <w:lang w:val="en-US"/>
        </w:rPr>
        <w:t xml:space="preserve">    </w:t>
      </w:r>
      <w:r>
        <w:rPr>
          <w:rFonts w:ascii="Garamond" w:hAnsi="Garamond"/>
          <w:sz w:val="28"/>
          <w:szCs w:val="28"/>
          <w:lang w:val="en-US"/>
        </w:rPr>
        <w:t>The rich and affluent to share their resources and develop the under privileged.</w:t>
      </w:r>
    </w:p>
    <w:p w:rsidR="008C4536" w:rsidRDefault="008C4536" w:rsidP="008C4536">
      <w:pPr>
        <w:spacing w:before="100" w:beforeAutospacing="1" w:after="100" w:afterAutospacing="1"/>
        <w:ind w:left="720" w:hanging="360"/>
        <w:jc w:val="both"/>
      </w:pPr>
      <w:r>
        <w:rPr>
          <w:rFonts w:ascii="Garamond" w:hAnsi="Garamond"/>
          <w:sz w:val="28"/>
          <w:szCs w:val="28"/>
          <w:lang w:val="en-US"/>
        </w:rPr>
        <w:t>c)</w:t>
      </w:r>
      <w:r>
        <w:rPr>
          <w:rFonts w:ascii="Garamond" w:hAnsi="Garamond"/>
          <w:sz w:val="14"/>
          <w:szCs w:val="14"/>
          <w:lang w:val="en-US"/>
        </w:rPr>
        <w:t xml:space="preserve">     </w:t>
      </w:r>
      <w:r>
        <w:rPr>
          <w:rFonts w:ascii="Garamond" w:hAnsi="Garamond"/>
          <w:sz w:val="28"/>
          <w:szCs w:val="28"/>
          <w:lang w:val="en-US"/>
        </w:rPr>
        <w:t>The negligent to stand up to his responsibility and support his family with earning an income.</w:t>
      </w:r>
    </w:p>
    <w:p w:rsidR="008C4536" w:rsidRDefault="008C4536" w:rsidP="008C4536">
      <w:pPr>
        <w:spacing w:before="100" w:beforeAutospacing="1" w:after="100" w:afterAutospacing="1"/>
        <w:ind w:left="720" w:hanging="360"/>
        <w:jc w:val="both"/>
      </w:pPr>
      <w:r>
        <w:rPr>
          <w:rFonts w:ascii="Garamond" w:hAnsi="Garamond"/>
          <w:sz w:val="28"/>
          <w:szCs w:val="28"/>
          <w:lang w:val="en-US"/>
        </w:rPr>
        <w:t>d)</w:t>
      </w:r>
      <w:r>
        <w:rPr>
          <w:rFonts w:ascii="Garamond" w:hAnsi="Garamond"/>
          <w:sz w:val="14"/>
          <w:szCs w:val="14"/>
          <w:lang w:val="en-US"/>
        </w:rPr>
        <w:t xml:space="preserve">    </w:t>
      </w:r>
      <w:r>
        <w:rPr>
          <w:rFonts w:ascii="Garamond" w:hAnsi="Garamond"/>
          <w:sz w:val="28"/>
          <w:szCs w:val="28"/>
          <w:lang w:val="en-US"/>
        </w:rPr>
        <w:t>The careless to abandon wine and intoxicants</w:t>
      </w:r>
    </w:p>
    <w:p w:rsidR="008C4536" w:rsidRDefault="008C4536" w:rsidP="008C4536">
      <w:pPr>
        <w:spacing w:before="100" w:beforeAutospacing="1" w:after="100" w:afterAutospacing="1"/>
        <w:ind w:left="720" w:hanging="360"/>
        <w:jc w:val="both"/>
      </w:pPr>
      <w:r>
        <w:rPr>
          <w:rFonts w:ascii="Garamond" w:hAnsi="Garamond"/>
          <w:sz w:val="28"/>
          <w:szCs w:val="28"/>
          <w:lang w:val="en-US"/>
        </w:rPr>
        <w:t>e)</w:t>
      </w:r>
      <w:r>
        <w:rPr>
          <w:rFonts w:ascii="Garamond" w:hAnsi="Garamond"/>
          <w:sz w:val="14"/>
          <w:szCs w:val="14"/>
          <w:lang w:val="en-US"/>
        </w:rPr>
        <w:t xml:space="preserve">     </w:t>
      </w:r>
      <w:r>
        <w:rPr>
          <w:rFonts w:ascii="Garamond" w:hAnsi="Garamond"/>
          <w:sz w:val="28"/>
          <w:szCs w:val="28"/>
          <w:lang w:val="en-US"/>
        </w:rPr>
        <w:t xml:space="preserve">The immodest to live a life of chastity and avoid fornication and adultery which erodes the moral </w:t>
      </w:r>
      <w:proofErr w:type="spellStart"/>
      <w:r>
        <w:rPr>
          <w:rFonts w:ascii="Garamond" w:hAnsi="Garamond"/>
          <w:sz w:val="28"/>
          <w:szCs w:val="28"/>
          <w:lang w:val="en-US"/>
        </w:rPr>
        <w:t>fibre</w:t>
      </w:r>
      <w:proofErr w:type="spellEnd"/>
      <w:r>
        <w:rPr>
          <w:rFonts w:ascii="Garamond" w:hAnsi="Garamond"/>
          <w:sz w:val="28"/>
          <w:szCs w:val="28"/>
          <w:lang w:val="en-US"/>
        </w:rPr>
        <w:t xml:space="preserve"> of the community</w:t>
      </w:r>
    </w:p>
    <w:p w:rsidR="008C4536" w:rsidRDefault="008C4536" w:rsidP="008C4536">
      <w:pPr>
        <w:spacing w:before="100" w:beforeAutospacing="1" w:after="100" w:afterAutospacing="1"/>
        <w:jc w:val="both"/>
      </w:pPr>
      <w:r>
        <w:rPr>
          <w:rFonts w:ascii="Garamond" w:hAnsi="Garamond"/>
          <w:sz w:val="28"/>
          <w:szCs w:val="28"/>
          <w:lang w:val="en-US"/>
        </w:rPr>
        <w:t xml:space="preserve">While a Government may be searching and contemplating on solutions to its various domestic, social, and economical challenges,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positively contributes to the reformation and solutions of the various problems solely for the pleasure of </w:t>
      </w:r>
      <w:proofErr w:type="spellStart"/>
      <w:r>
        <w:rPr>
          <w:rFonts w:ascii="Garamond" w:hAnsi="Garamond"/>
          <w:sz w:val="28"/>
          <w:szCs w:val="28"/>
          <w:lang w:val="en-US"/>
        </w:rPr>
        <w:t>Allāh</w:t>
      </w:r>
      <w:proofErr w:type="spellEnd"/>
      <w:r>
        <w:rPr>
          <w:rFonts w:ascii="Garamond" w:hAnsi="Garamond"/>
          <w:sz w:val="28"/>
          <w:szCs w:val="28"/>
          <w:lang w:val="en-US"/>
        </w:rPr>
        <w:t xml:space="preserve"> and well-being of mankind. They do not seek any political position or any reward. Their reward is by </w:t>
      </w:r>
      <w:proofErr w:type="spellStart"/>
      <w:r>
        <w:rPr>
          <w:rFonts w:ascii="Garamond" w:hAnsi="Garamond"/>
          <w:sz w:val="28"/>
          <w:szCs w:val="28"/>
          <w:lang w:val="en-US"/>
        </w:rPr>
        <w:t>Allāh</w:t>
      </w:r>
      <w:proofErr w:type="spellEnd"/>
      <w:r>
        <w:rPr>
          <w:rFonts w:ascii="Garamond" w:hAnsi="Garamond"/>
          <w:sz w:val="28"/>
          <w:szCs w:val="28"/>
          <w:lang w:val="en-US"/>
        </w:rPr>
        <w:t>:</w:t>
      </w:r>
    </w:p>
    <w:p w:rsidR="008C4536" w:rsidRDefault="008C4536" w:rsidP="008C4536">
      <w:pPr>
        <w:bidi/>
        <w:spacing w:before="100" w:beforeAutospacing="1" w:after="100" w:afterAutospacing="1"/>
        <w:jc w:val="both"/>
      </w:pPr>
      <w:r>
        <w:rPr>
          <w:rFonts w:ascii="Traditional Arabic" w:hAnsi="Traditional Arabic" w:cs="Traditional Arabic"/>
          <w:sz w:val="32"/>
          <w:szCs w:val="32"/>
          <w:rtl/>
          <w:lang w:bidi="ur-PK"/>
        </w:rPr>
        <w:t>إِنْ أَجْرِيَ إِلا عَلَى اللَّهِ (سورة يونس، رقم الآية 72)</w:t>
      </w:r>
    </w:p>
    <w:p w:rsidR="008C4536" w:rsidRDefault="008C4536" w:rsidP="008C4536">
      <w:pPr>
        <w:spacing w:before="100" w:beforeAutospacing="1" w:after="100" w:afterAutospacing="1"/>
        <w:jc w:val="both"/>
        <w:rPr>
          <w:rtl/>
        </w:rPr>
      </w:pPr>
      <w:r>
        <w:rPr>
          <w:rFonts w:ascii="Garamond" w:hAnsi="Garamond"/>
          <w:i/>
          <w:iCs/>
          <w:sz w:val="28"/>
          <w:szCs w:val="28"/>
          <w:lang w:val="en-US"/>
        </w:rPr>
        <w:lastRenderedPageBreak/>
        <w:t xml:space="preserve">My reward is only with </w:t>
      </w:r>
      <w:proofErr w:type="spellStart"/>
      <w:r>
        <w:rPr>
          <w:rFonts w:ascii="Garamond" w:hAnsi="Garamond"/>
          <w:i/>
          <w:iCs/>
          <w:sz w:val="28"/>
          <w:szCs w:val="28"/>
          <w:lang w:val="en-US"/>
        </w:rPr>
        <w:t>Allāh</w:t>
      </w:r>
      <w:proofErr w:type="spellEnd"/>
      <w:r>
        <w:rPr>
          <w:rFonts w:ascii="Garamond" w:hAnsi="Garamond"/>
          <w:i/>
          <w:iCs/>
          <w:sz w:val="28"/>
          <w:szCs w:val="28"/>
          <w:lang w:val="en-US"/>
        </w:rPr>
        <w:t>. (</w:t>
      </w:r>
      <w:proofErr w:type="spellStart"/>
      <w:r>
        <w:rPr>
          <w:rFonts w:ascii="Garamond" w:hAnsi="Garamond"/>
          <w:i/>
          <w:iCs/>
          <w:sz w:val="28"/>
          <w:szCs w:val="28"/>
          <w:lang w:val="en-US"/>
        </w:rPr>
        <w:t>Surah</w:t>
      </w:r>
      <w:proofErr w:type="spellEnd"/>
      <w:r>
        <w:rPr>
          <w:rFonts w:ascii="Garamond" w:hAnsi="Garamond"/>
          <w:i/>
          <w:iCs/>
          <w:sz w:val="28"/>
          <w:szCs w:val="28"/>
          <w:lang w:val="en-US"/>
        </w:rPr>
        <w:t xml:space="preserve"> </w:t>
      </w:r>
      <w:proofErr w:type="spellStart"/>
      <w:r>
        <w:rPr>
          <w:rFonts w:ascii="Garamond" w:hAnsi="Garamond"/>
          <w:i/>
          <w:iCs/>
          <w:sz w:val="28"/>
          <w:szCs w:val="28"/>
          <w:lang w:val="en-US"/>
        </w:rPr>
        <w:t>Yūnus</w:t>
      </w:r>
      <w:proofErr w:type="spellEnd"/>
      <w:r>
        <w:rPr>
          <w:rFonts w:ascii="Garamond" w:hAnsi="Garamond"/>
          <w:i/>
          <w:iCs/>
          <w:sz w:val="28"/>
          <w:szCs w:val="28"/>
          <w:lang w:val="en-US"/>
        </w:rPr>
        <w:t>, Verse 72)</w:t>
      </w:r>
    </w:p>
    <w:p w:rsidR="008C4536" w:rsidRDefault="008C4536" w:rsidP="008C4536">
      <w:pPr>
        <w:spacing w:before="100" w:beforeAutospacing="1" w:after="100" w:afterAutospacing="1"/>
        <w:jc w:val="both"/>
        <w:rPr>
          <w:rFonts w:hint="cs"/>
          <w:rtl/>
        </w:rPr>
      </w:pPr>
      <w:r>
        <w:rPr>
          <w:rFonts w:ascii="Garamond" w:hAnsi="Garamond"/>
          <w:sz w:val="28"/>
          <w:szCs w:val="28"/>
          <w:lang w:val="en-US"/>
        </w:rPr>
        <w:t xml:space="preserve">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focuses only on the following six points to achieve self-reformation:</w:t>
      </w:r>
    </w:p>
    <w:p w:rsidR="008C4536" w:rsidRDefault="008C4536" w:rsidP="008C4536">
      <w:pPr>
        <w:spacing w:before="100" w:beforeAutospacing="1" w:after="100" w:afterAutospacing="1"/>
        <w:ind w:left="720" w:hanging="360"/>
        <w:jc w:val="both"/>
      </w:pPr>
      <w:r>
        <w:rPr>
          <w:rFonts w:ascii="Garamond" w:hAnsi="Garamond"/>
          <w:sz w:val="28"/>
          <w:szCs w:val="28"/>
          <w:lang w:val="en-US"/>
        </w:rPr>
        <w:t>1.</w:t>
      </w:r>
      <w:r>
        <w:rPr>
          <w:rFonts w:ascii="Garamond" w:hAnsi="Garamond"/>
          <w:sz w:val="14"/>
          <w:szCs w:val="14"/>
          <w:lang w:val="en-US"/>
        </w:rPr>
        <w:t xml:space="preserve">      </w:t>
      </w:r>
      <w:r>
        <w:rPr>
          <w:rFonts w:ascii="Garamond" w:hAnsi="Garamond"/>
          <w:sz w:val="28"/>
          <w:szCs w:val="28"/>
          <w:lang w:val="en-US"/>
        </w:rPr>
        <w:t xml:space="preserve">Entrenching the belief in the Oneness of </w:t>
      </w:r>
      <w:proofErr w:type="spellStart"/>
      <w:r>
        <w:rPr>
          <w:rFonts w:ascii="Garamond" w:hAnsi="Garamond"/>
          <w:sz w:val="28"/>
          <w:szCs w:val="28"/>
          <w:lang w:val="en-US"/>
        </w:rPr>
        <w:t>Allāh</w:t>
      </w:r>
      <w:proofErr w:type="spellEnd"/>
      <w:r>
        <w:rPr>
          <w:rFonts w:ascii="Garamond" w:hAnsi="Garamond"/>
          <w:sz w:val="28"/>
          <w:szCs w:val="28"/>
          <w:lang w:val="en-US"/>
        </w:rPr>
        <w:t xml:space="preserve"> (</w:t>
      </w:r>
      <w:proofErr w:type="spellStart"/>
      <w:r>
        <w:rPr>
          <w:rFonts w:ascii="Garamond" w:hAnsi="Garamond"/>
          <w:sz w:val="28"/>
          <w:szCs w:val="28"/>
          <w:lang w:val="en-US"/>
        </w:rPr>
        <w:t>Tawhīd</w:t>
      </w:r>
      <w:proofErr w:type="spellEnd"/>
      <w:r>
        <w:rPr>
          <w:rFonts w:ascii="Garamond" w:hAnsi="Garamond"/>
          <w:sz w:val="28"/>
          <w:szCs w:val="28"/>
          <w:lang w:val="en-US"/>
        </w:rPr>
        <w:t>)</w:t>
      </w:r>
    </w:p>
    <w:p w:rsidR="008C4536" w:rsidRDefault="008C4536" w:rsidP="008C4536">
      <w:pPr>
        <w:spacing w:before="100" w:beforeAutospacing="1" w:after="100" w:afterAutospacing="1"/>
        <w:ind w:left="720" w:hanging="360"/>
        <w:jc w:val="both"/>
      </w:pPr>
      <w:r>
        <w:rPr>
          <w:rFonts w:ascii="Garamond" w:hAnsi="Garamond"/>
          <w:sz w:val="28"/>
          <w:szCs w:val="28"/>
          <w:lang w:val="en-US"/>
        </w:rPr>
        <w:t>2.</w:t>
      </w:r>
      <w:r>
        <w:rPr>
          <w:rFonts w:ascii="Garamond" w:hAnsi="Garamond"/>
          <w:sz w:val="14"/>
          <w:szCs w:val="14"/>
          <w:lang w:val="en-US"/>
        </w:rPr>
        <w:t xml:space="preserve">      </w:t>
      </w:r>
      <w:r>
        <w:rPr>
          <w:rFonts w:ascii="Garamond" w:hAnsi="Garamond"/>
          <w:sz w:val="28"/>
          <w:szCs w:val="28"/>
          <w:lang w:val="en-US"/>
        </w:rPr>
        <w:t xml:space="preserve">The importance of performing </w:t>
      </w:r>
      <w:proofErr w:type="spellStart"/>
      <w:r>
        <w:rPr>
          <w:rFonts w:ascii="Garamond" w:hAnsi="Garamond"/>
          <w:sz w:val="28"/>
          <w:szCs w:val="28"/>
          <w:lang w:val="en-US"/>
        </w:rPr>
        <w:t>Salāh</w:t>
      </w:r>
      <w:proofErr w:type="spellEnd"/>
    </w:p>
    <w:p w:rsidR="008C4536" w:rsidRDefault="008C4536" w:rsidP="008C4536">
      <w:pPr>
        <w:spacing w:before="100" w:beforeAutospacing="1" w:after="100" w:afterAutospacing="1"/>
        <w:ind w:left="720" w:hanging="360"/>
        <w:jc w:val="both"/>
      </w:pPr>
      <w:r>
        <w:rPr>
          <w:rFonts w:ascii="Garamond" w:hAnsi="Garamond"/>
          <w:sz w:val="28"/>
          <w:szCs w:val="28"/>
          <w:lang w:val="en-US"/>
        </w:rPr>
        <w:t>3.</w:t>
      </w:r>
      <w:r>
        <w:rPr>
          <w:rFonts w:ascii="Garamond" w:hAnsi="Garamond"/>
          <w:sz w:val="14"/>
          <w:szCs w:val="14"/>
          <w:lang w:val="en-US"/>
        </w:rPr>
        <w:t xml:space="preserve">      </w:t>
      </w:r>
      <w:r>
        <w:rPr>
          <w:rFonts w:ascii="Garamond" w:hAnsi="Garamond"/>
          <w:sz w:val="28"/>
          <w:szCs w:val="28"/>
          <w:lang w:val="en-US"/>
        </w:rPr>
        <w:t xml:space="preserve">Education and Remembrance of </w:t>
      </w:r>
      <w:proofErr w:type="spellStart"/>
      <w:r>
        <w:rPr>
          <w:rFonts w:ascii="Garamond" w:hAnsi="Garamond"/>
          <w:sz w:val="28"/>
          <w:szCs w:val="28"/>
          <w:lang w:val="en-US"/>
        </w:rPr>
        <w:t>Allāh</w:t>
      </w:r>
      <w:proofErr w:type="spellEnd"/>
    </w:p>
    <w:p w:rsidR="008C4536" w:rsidRDefault="008C4536" w:rsidP="008C4536">
      <w:pPr>
        <w:spacing w:before="100" w:beforeAutospacing="1" w:after="100" w:afterAutospacing="1"/>
        <w:ind w:left="720" w:hanging="360"/>
        <w:jc w:val="both"/>
      </w:pPr>
      <w:r>
        <w:rPr>
          <w:rFonts w:ascii="Garamond" w:hAnsi="Garamond"/>
          <w:sz w:val="28"/>
          <w:szCs w:val="28"/>
          <w:lang w:val="en-US"/>
        </w:rPr>
        <w:t>4.</w:t>
      </w:r>
      <w:r>
        <w:rPr>
          <w:rFonts w:ascii="Garamond" w:hAnsi="Garamond"/>
          <w:sz w:val="14"/>
          <w:szCs w:val="14"/>
          <w:lang w:val="en-US"/>
        </w:rPr>
        <w:t xml:space="preserve">      </w:t>
      </w:r>
      <w:proofErr w:type="gramStart"/>
      <w:r>
        <w:rPr>
          <w:rFonts w:ascii="Garamond" w:hAnsi="Garamond"/>
          <w:sz w:val="28"/>
          <w:szCs w:val="28"/>
          <w:lang w:val="en-US"/>
        </w:rPr>
        <w:t>To</w:t>
      </w:r>
      <w:proofErr w:type="gramEnd"/>
      <w:r>
        <w:rPr>
          <w:rFonts w:ascii="Garamond" w:hAnsi="Garamond"/>
          <w:sz w:val="28"/>
          <w:szCs w:val="28"/>
          <w:lang w:val="en-US"/>
        </w:rPr>
        <w:t xml:space="preserve"> </w:t>
      </w:r>
      <w:proofErr w:type="spellStart"/>
      <w:r>
        <w:rPr>
          <w:rFonts w:ascii="Garamond" w:hAnsi="Garamond"/>
          <w:sz w:val="28"/>
          <w:szCs w:val="28"/>
          <w:lang w:val="en-US"/>
        </w:rPr>
        <w:t>honour</w:t>
      </w:r>
      <w:proofErr w:type="spellEnd"/>
      <w:r>
        <w:rPr>
          <w:rFonts w:ascii="Garamond" w:hAnsi="Garamond"/>
          <w:sz w:val="28"/>
          <w:szCs w:val="28"/>
          <w:lang w:val="en-US"/>
        </w:rPr>
        <w:t xml:space="preserve"> fellow Muslims</w:t>
      </w:r>
    </w:p>
    <w:p w:rsidR="008C4536" w:rsidRDefault="008C4536" w:rsidP="008C4536">
      <w:pPr>
        <w:spacing w:before="100" w:beforeAutospacing="1" w:after="100" w:afterAutospacing="1"/>
        <w:ind w:left="720" w:hanging="360"/>
        <w:jc w:val="both"/>
      </w:pPr>
      <w:r>
        <w:rPr>
          <w:rFonts w:ascii="Garamond" w:hAnsi="Garamond"/>
          <w:sz w:val="28"/>
          <w:szCs w:val="28"/>
          <w:lang w:val="en-US"/>
        </w:rPr>
        <w:t>5.</w:t>
      </w:r>
      <w:r>
        <w:rPr>
          <w:rFonts w:ascii="Garamond" w:hAnsi="Garamond"/>
          <w:sz w:val="14"/>
          <w:szCs w:val="14"/>
          <w:lang w:val="en-US"/>
        </w:rPr>
        <w:t xml:space="preserve">      </w:t>
      </w:r>
      <w:r>
        <w:rPr>
          <w:rFonts w:ascii="Garamond" w:hAnsi="Garamond"/>
          <w:sz w:val="28"/>
          <w:szCs w:val="28"/>
          <w:lang w:val="en-US"/>
        </w:rPr>
        <w:t>Sincerity (</w:t>
      </w:r>
      <w:proofErr w:type="spellStart"/>
      <w:r>
        <w:rPr>
          <w:rFonts w:ascii="Garamond" w:hAnsi="Garamond"/>
          <w:sz w:val="28"/>
          <w:szCs w:val="28"/>
          <w:lang w:val="en-US"/>
        </w:rPr>
        <w:t>Ikhlās</w:t>
      </w:r>
      <w:proofErr w:type="spellEnd"/>
      <w:r>
        <w:rPr>
          <w:rFonts w:ascii="Garamond" w:hAnsi="Garamond"/>
          <w:sz w:val="28"/>
          <w:szCs w:val="28"/>
          <w:lang w:val="en-US"/>
        </w:rPr>
        <w:t>)</w:t>
      </w:r>
    </w:p>
    <w:p w:rsidR="008C4536" w:rsidRDefault="008C4536" w:rsidP="008C4536">
      <w:pPr>
        <w:spacing w:before="100" w:beforeAutospacing="1" w:after="100" w:afterAutospacing="1"/>
        <w:ind w:left="720" w:hanging="360"/>
        <w:jc w:val="both"/>
      </w:pPr>
      <w:r>
        <w:rPr>
          <w:rFonts w:ascii="Garamond" w:hAnsi="Garamond"/>
          <w:sz w:val="28"/>
          <w:szCs w:val="28"/>
          <w:lang w:val="en-US"/>
        </w:rPr>
        <w:t>6.</w:t>
      </w:r>
      <w:r>
        <w:rPr>
          <w:rFonts w:ascii="Garamond" w:hAnsi="Garamond"/>
          <w:sz w:val="14"/>
          <w:szCs w:val="14"/>
          <w:lang w:val="en-US"/>
        </w:rPr>
        <w:t xml:space="preserve">      </w:t>
      </w:r>
      <w:r>
        <w:rPr>
          <w:rFonts w:ascii="Garamond" w:hAnsi="Garamond"/>
          <w:sz w:val="28"/>
          <w:szCs w:val="28"/>
          <w:lang w:val="en-US"/>
        </w:rPr>
        <w:t xml:space="preserve">Propagating the message of </w:t>
      </w:r>
      <w:proofErr w:type="spellStart"/>
      <w:r>
        <w:rPr>
          <w:rFonts w:ascii="Garamond" w:hAnsi="Garamond"/>
          <w:sz w:val="28"/>
          <w:szCs w:val="28"/>
          <w:lang w:val="en-US"/>
        </w:rPr>
        <w:t>Islām</w:t>
      </w:r>
      <w:proofErr w:type="spellEnd"/>
    </w:p>
    <w:p w:rsidR="008C4536" w:rsidRDefault="008C4536" w:rsidP="008C4536">
      <w:pPr>
        <w:spacing w:before="100" w:beforeAutospacing="1" w:after="100" w:afterAutospacing="1"/>
        <w:jc w:val="both"/>
      </w:pPr>
      <w:r>
        <w:rPr>
          <w:rFonts w:ascii="Garamond" w:hAnsi="Garamond"/>
          <w:sz w:val="28"/>
          <w:szCs w:val="28"/>
          <w:lang w:val="en-US"/>
        </w:rPr>
        <w:t>These six points can be condensed in two points-</w:t>
      </w:r>
    </w:p>
    <w:p w:rsidR="008C4536" w:rsidRDefault="008C4536" w:rsidP="008C4536">
      <w:pPr>
        <w:spacing w:before="100" w:beforeAutospacing="1" w:after="100" w:afterAutospacing="1"/>
        <w:ind w:left="720" w:hanging="360"/>
        <w:jc w:val="both"/>
      </w:pPr>
      <w:proofErr w:type="gramStart"/>
      <w:r>
        <w:rPr>
          <w:rFonts w:ascii="Symbol" w:hAnsi="Symbol"/>
          <w:sz w:val="28"/>
          <w:szCs w:val="28"/>
          <w:lang w:val="en-US"/>
        </w:rPr>
        <w:t></w:t>
      </w:r>
      <w:r>
        <w:rPr>
          <w:rFonts w:ascii="Symbol"/>
          <w:sz w:val="14"/>
          <w:szCs w:val="14"/>
          <w:lang w:val="en-US"/>
        </w:rPr>
        <w:t>       </w:t>
      </w:r>
      <w:r>
        <w:rPr>
          <w:rFonts w:ascii="Symbol" w:hAnsi="Symbol"/>
          <w:sz w:val="14"/>
          <w:szCs w:val="14"/>
          <w:lang w:val="en-US"/>
        </w:rPr>
        <w:t></w:t>
      </w:r>
      <w:r>
        <w:rPr>
          <w:rFonts w:ascii="Garamond" w:hAnsi="Garamond"/>
          <w:sz w:val="28"/>
          <w:szCs w:val="28"/>
          <w:lang w:val="en-US"/>
        </w:rPr>
        <w:t xml:space="preserve">Being sensitive to </w:t>
      </w:r>
      <w:proofErr w:type="spellStart"/>
      <w:r>
        <w:rPr>
          <w:rFonts w:ascii="Garamond" w:hAnsi="Garamond"/>
          <w:sz w:val="28"/>
          <w:szCs w:val="28"/>
          <w:lang w:val="en-US"/>
        </w:rPr>
        <w:t>Allāh</w:t>
      </w:r>
      <w:proofErr w:type="spellEnd"/>
      <w:r>
        <w:rPr>
          <w:rFonts w:ascii="Garamond" w:hAnsi="Garamond"/>
          <w:sz w:val="28"/>
          <w:szCs w:val="28"/>
          <w:lang w:val="en-US"/>
        </w:rPr>
        <w:t xml:space="preserve"> and thereby being obedient to </w:t>
      </w:r>
      <w:proofErr w:type="spellStart"/>
      <w:r>
        <w:rPr>
          <w:rFonts w:ascii="Garamond" w:hAnsi="Garamond"/>
          <w:sz w:val="28"/>
          <w:szCs w:val="28"/>
          <w:lang w:val="en-US"/>
        </w:rPr>
        <w:t>Allāh</w:t>
      </w:r>
      <w:proofErr w:type="spellEnd"/>
      <w:r>
        <w:rPr>
          <w:rFonts w:ascii="Garamond" w:hAnsi="Garamond"/>
          <w:sz w:val="28"/>
          <w:szCs w:val="28"/>
          <w:lang w:val="en-US"/>
        </w:rPr>
        <w:t>.</w:t>
      </w:r>
      <w:proofErr w:type="gramEnd"/>
      <w:r>
        <w:rPr>
          <w:rFonts w:ascii="Garamond" w:hAnsi="Garamond"/>
          <w:sz w:val="28"/>
          <w:szCs w:val="28"/>
          <w:lang w:val="en-US"/>
        </w:rPr>
        <w:t xml:space="preserve"> </w:t>
      </w:r>
    </w:p>
    <w:p w:rsidR="008C4536" w:rsidRDefault="008C4536" w:rsidP="008C4536">
      <w:pPr>
        <w:spacing w:before="100" w:beforeAutospacing="1" w:after="100" w:afterAutospacing="1"/>
        <w:ind w:left="720" w:hanging="360"/>
        <w:jc w:val="both"/>
      </w:pPr>
      <w:r>
        <w:rPr>
          <w:rFonts w:ascii="Symbol" w:hAnsi="Symbol"/>
          <w:sz w:val="28"/>
          <w:szCs w:val="28"/>
          <w:lang w:val="en-US"/>
        </w:rPr>
        <w:t></w:t>
      </w:r>
      <w:r>
        <w:rPr>
          <w:rFonts w:ascii="Symbol"/>
          <w:sz w:val="14"/>
          <w:szCs w:val="14"/>
          <w:lang w:val="en-US"/>
        </w:rPr>
        <w:t>       </w:t>
      </w:r>
      <w:r>
        <w:rPr>
          <w:rFonts w:ascii="Symbol" w:hAnsi="Symbol"/>
          <w:sz w:val="14"/>
          <w:szCs w:val="14"/>
          <w:lang w:val="en-US"/>
        </w:rPr>
        <w:t></w:t>
      </w:r>
      <w:r>
        <w:rPr>
          <w:rFonts w:ascii="Garamond" w:hAnsi="Garamond"/>
          <w:sz w:val="28"/>
          <w:szCs w:val="28"/>
          <w:lang w:val="en-US"/>
        </w:rPr>
        <w:t xml:space="preserve">Being sensitive to fellow creations and induce love and harmony for each other. </w:t>
      </w:r>
    </w:p>
    <w:p w:rsidR="008C4536" w:rsidRDefault="008C4536" w:rsidP="008C4536">
      <w:pPr>
        <w:spacing w:before="100" w:beforeAutospacing="1" w:after="100" w:afterAutospacing="1"/>
        <w:jc w:val="both"/>
      </w:pPr>
      <w:r>
        <w:rPr>
          <w:rFonts w:ascii="Garamond" w:hAnsi="Garamond"/>
          <w:sz w:val="28"/>
          <w:szCs w:val="28"/>
          <w:lang w:val="en-US"/>
        </w:rPr>
        <w:t xml:space="preserve">If anyone attributes anything else to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other than what we have stated he is misinformed.</w:t>
      </w:r>
    </w:p>
    <w:p w:rsidR="008C4536" w:rsidRDefault="008C4536" w:rsidP="008C4536">
      <w:pPr>
        <w:spacing w:before="100" w:beforeAutospacing="1" w:after="100" w:afterAutospacing="1"/>
        <w:jc w:val="both"/>
      </w:pPr>
      <w:proofErr w:type="spellStart"/>
      <w:r>
        <w:rPr>
          <w:rFonts w:ascii="Garamond" w:hAnsi="Garamond"/>
          <w:sz w:val="28"/>
          <w:szCs w:val="28"/>
          <w:lang w:val="en-US"/>
        </w:rPr>
        <w:t>Honourable</w:t>
      </w:r>
      <w:proofErr w:type="spellEnd"/>
      <w:r>
        <w:rPr>
          <w:rFonts w:ascii="Garamond" w:hAnsi="Garamond"/>
          <w:sz w:val="28"/>
          <w:szCs w:val="28"/>
          <w:lang w:val="en-US"/>
        </w:rPr>
        <w:t xml:space="preserve"> Judge, we are sure you will be guided by your training and skill of justice and fairness in independency, examining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We are sure you will conclude that the </w:t>
      </w:r>
      <w:proofErr w:type="spellStart"/>
      <w:r>
        <w:rPr>
          <w:rFonts w:ascii="Garamond" w:hAnsi="Garamond"/>
          <w:sz w:val="28"/>
          <w:szCs w:val="28"/>
          <w:lang w:val="en-US"/>
        </w:rPr>
        <w:t>Tablīgh</w:t>
      </w:r>
      <w:proofErr w:type="spellEnd"/>
      <w:r>
        <w:rPr>
          <w:rFonts w:ascii="Garamond" w:hAnsi="Garamond"/>
          <w:sz w:val="28"/>
          <w:szCs w:val="28"/>
          <w:lang w:val="en-US"/>
        </w:rPr>
        <w:t xml:space="preserve"> movement is an asset for mankind and contributes to establishing and promoting a wholesome way of life for one and all.</w:t>
      </w:r>
    </w:p>
    <w:p w:rsidR="008C4536" w:rsidRDefault="008C4536" w:rsidP="008C4536">
      <w:pPr>
        <w:spacing w:before="100" w:beforeAutospacing="1" w:after="100" w:afterAutospacing="1"/>
        <w:jc w:val="both"/>
      </w:pPr>
      <w:r>
        <w:rPr>
          <w:rFonts w:ascii="Garamond" w:hAnsi="Garamond"/>
          <w:sz w:val="28"/>
          <w:szCs w:val="28"/>
          <w:lang w:val="en-US"/>
        </w:rPr>
        <w:t xml:space="preserve">(Mufti) </w:t>
      </w:r>
      <w:proofErr w:type="spellStart"/>
      <w:r>
        <w:rPr>
          <w:rFonts w:ascii="Garamond" w:hAnsi="Garamond"/>
          <w:sz w:val="28"/>
          <w:szCs w:val="28"/>
          <w:lang w:val="en-US"/>
        </w:rPr>
        <w:t>Ebrahim</w:t>
      </w:r>
      <w:proofErr w:type="spellEnd"/>
      <w:r>
        <w:rPr>
          <w:rFonts w:ascii="Garamond" w:hAnsi="Garamond"/>
          <w:sz w:val="28"/>
          <w:szCs w:val="28"/>
          <w:lang w:val="en-US"/>
        </w:rPr>
        <w:t xml:space="preserve"> Desai</w:t>
      </w:r>
    </w:p>
    <w:p w:rsidR="008C4536" w:rsidRDefault="008C4536" w:rsidP="008C4536">
      <w:pPr>
        <w:spacing w:before="100" w:beforeAutospacing="1" w:after="240"/>
        <w:jc w:val="center"/>
      </w:pPr>
      <w:r>
        <w:rPr>
          <w:rFonts w:ascii="Garamond" w:hAnsi="Garamond"/>
          <w:sz w:val="28"/>
          <w:szCs w:val="28"/>
          <w:lang w:val="en-US"/>
        </w:rPr>
        <w:t>Checked and Approved by</w:t>
      </w:r>
      <w:proofErr w:type="gramStart"/>
      <w:r>
        <w:rPr>
          <w:rFonts w:ascii="Garamond" w:hAnsi="Garamond"/>
          <w:sz w:val="28"/>
          <w:szCs w:val="28"/>
          <w:lang w:val="en-US"/>
        </w:rPr>
        <w:t>,</w:t>
      </w:r>
      <w:proofErr w:type="gramEnd"/>
      <w:r>
        <w:rPr>
          <w:rFonts w:ascii="Garamond" w:hAnsi="Garamond"/>
          <w:sz w:val="28"/>
          <w:szCs w:val="28"/>
          <w:lang w:val="en-US"/>
        </w:rPr>
        <w:br/>
      </w:r>
      <w:proofErr w:type="spellStart"/>
      <w:r>
        <w:rPr>
          <w:rFonts w:ascii="Garamond" w:hAnsi="Garamond"/>
          <w:sz w:val="28"/>
          <w:szCs w:val="28"/>
          <w:lang w:val="en-US"/>
        </w:rPr>
        <w:t>Sheikhul</w:t>
      </w:r>
      <w:proofErr w:type="spellEnd"/>
      <w:r>
        <w:rPr>
          <w:rFonts w:ascii="Garamond" w:hAnsi="Garamond"/>
          <w:sz w:val="28"/>
          <w:szCs w:val="28"/>
          <w:lang w:val="en-US"/>
        </w:rPr>
        <w:t xml:space="preserve"> </w:t>
      </w:r>
      <w:proofErr w:type="spellStart"/>
      <w:r>
        <w:rPr>
          <w:rFonts w:ascii="Garamond" w:hAnsi="Garamond"/>
          <w:sz w:val="28"/>
          <w:szCs w:val="28"/>
          <w:lang w:val="en-US"/>
        </w:rPr>
        <w:t>Hadīth</w:t>
      </w:r>
      <w:proofErr w:type="spellEnd"/>
      <w:r>
        <w:rPr>
          <w:rFonts w:ascii="Garamond" w:hAnsi="Garamond"/>
          <w:sz w:val="28"/>
          <w:szCs w:val="28"/>
          <w:lang w:val="en-US"/>
        </w:rPr>
        <w:t xml:space="preserve"> </w:t>
      </w:r>
      <w:proofErr w:type="spellStart"/>
      <w:r>
        <w:rPr>
          <w:rFonts w:ascii="Garamond" w:hAnsi="Garamond"/>
          <w:sz w:val="28"/>
          <w:szCs w:val="28"/>
          <w:lang w:val="en-US"/>
        </w:rPr>
        <w:t>Hadhrat</w:t>
      </w:r>
      <w:proofErr w:type="spellEnd"/>
      <w:r>
        <w:rPr>
          <w:rFonts w:ascii="Garamond" w:hAnsi="Garamond"/>
          <w:sz w:val="28"/>
          <w:szCs w:val="28"/>
          <w:lang w:val="en-US"/>
        </w:rPr>
        <w:t xml:space="preserve"> Moulana </w:t>
      </w:r>
      <w:proofErr w:type="spellStart"/>
      <w:r>
        <w:rPr>
          <w:rFonts w:ascii="Garamond" w:hAnsi="Garamond"/>
          <w:sz w:val="28"/>
          <w:szCs w:val="28"/>
          <w:lang w:val="en-US"/>
        </w:rPr>
        <w:t>Fazlur</w:t>
      </w:r>
      <w:proofErr w:type="spellEnd"/>
      <w:r>
        <w:rPr>
          <w:rFonts w:ascii="Garamond" w:hAnsi="Garamond"/>
          <w:sz w:val="28"/>
          <w:szCs w:val="28"/>
          <w:lang w:val="en-US"/>
        </w:rPr>
        <w:t xml:space="preserve"> </w:t>
      </w:r>
      <w:proofErr w:type="spellStart"/>
      <w:r>
        <w:rPr>
          <w:rFonts w:ascii="Garamond" w:hAnsi="Garamond"/>
          <w:sz w:val="28"/>
          <w:szCs w:val="28"/>
          <w:lang w:val="en-US"/>
        </w:rPr>
        <w:t>Rahman</w:t>
      </w:r>
      <w:proofErr w:type="spellEnd"/>
      <w:r>
        <w:rPr>
          <w:rFonts w:ascii="Garamond" w:hAnsi="Garamond"/>
          <w:sz w:val="28"/>
          <w:szCs w:val="28"/>
          <w:lang w:val="en-US"/>
        </w:rPr>
        <w:t xml:space="preserve"> </w:t>
      </w:r>
      <w:proofErr w:type="spellStart"/>
      <w:r>
        <w:rPr>
          <w:rFonts w:ascii="Garamond" w:hAnsi="Garamond"/>
          <w:sz w:val="28"/>
          <w:szCs w:val="28"/>
          <w:lang w:val="en-US"/>
        </w:rPr>
        <w:t>Azmi</w:t>
      </w:r>
      <w:proofErr w:type="spellEnd"/>
      <w:r>
        <w:rPr>
          <w:rFonts w:ascii="Garamond" w:hAnsi="Garamond"/>
          <w:sz w:val="28"/>
          <w:szCs w:val="28"/>
          <w:lang w:val="en-US"/>
        </w:rPr>
        <w:t xml:space="preserve"> </w:t>
      </w:r>
      <w:proofErr w:type="spellStart"/>
      <w:r>
        <w:rPr>
          <w:rFonts w:ascii="Garamond" w:hAnsi="Garamond"/>
          <w:sz w:val="28"/>
          <w:szCs w:val="28"/>
          <w:lang w:val="en-US"/>
        </w:rPr>
        <w:t>Saheb</w:t>
      </w:r>
      <w:proofErr w:type="spellEnd"/>
      <w:r>
        <w:rPr>
          <w:rFonts w:ascii="Garamond" w:hAnsi="Garamond"/>
          <w:sz w:val="28"/>
          <w:szCs w:val="28"/>
          <w:lang w:val="en-US"/>
        </w:rPr>
        <w:t xml:space="preserve"> </w:t>
      </w:r>
      <w:proofErr w:type="spellStart"/>
      <w:r>
        <w:rPr>
          <w:rFonts w:ascii="Garamond" w:hAnsi="Garamond"/>
          <w:i/>
          <w:iCs/>
          <w:sz w:val="28"/>
          <w:szCs w:val="28"/>
          <w:lang w:val="en-US"/>
        </w:rPr>
        <w:t>Damat</w:t>
      </w:r>
      <w:proofErr w:type="spellEnd"/>
      <w:r>
        <w:rPr>
          <w:rFonts w:ascii="Garamond" w:hAnsi="Garamond"/>
          <w:i/>
          <w:iCs/>
          <w:sz w:val="28"/>
          <w:szCs w:val="28"/>
          <w:lang w:val="en-US"/>
        </w:rPr>
        <w:t xml:space="preserve"> </w:t>
      </w:r>
      <w:proofErr w:type="spellStart"/>
      <w:r>
        <w:rPr>
          <w:rFonts w:ascii="Garamond" w:hAnsi="Garamond"/>
          <w:i/>
          <w:iCs/>
          <w:sz w:val="28"/>
          <w:szCs w:val="28"/>
          <w:lang w:val="en-US"/>
        </w:rPr>
        <w:t>Barakatuhum</w:t>
      </w:r>
      <w:proofErr w:type="spellEnd"/>
    </w:p>
    <w:p w:rsidR="008C4536" w:rsidRDefault="008C4536" w:rsidP="008C4536">
      <w:pPr>
        <w:spacing w:before="100" w:beforeAutospacing="1" w:after="100" w:afterAutospacing="1"/>
        <w:jc w:val="both"/>
      </w:pPr>
      <w:r>
        <w:rPr>
          <w:rFonts w:ascii="Garamond" w:hAnsi="Garamond"/>
          <w:sz w:val="28"/>
          <w:szCs w:val="28"/>
          <w:lang w:val="en-US"/>
        </w:rPr>
        <w:t> </w:t>
      </w:r>
    </w:p>
    <w:p w:rsidR="00D93125" w:rsidRDefault="00D93125"/>
    <w:sectPr w:rsidR="00D93125" w:rsidSect="00D93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536"/>
    <w:rsid w:val="008C4536"/>
    <w:rsid w:val="00D93125"/>
  </w:rsids>
  <m:mathPr>
    <m:mathFont m:val="Cambria Math"/>
    <m:brkBin m:val="before"/>
    <m:brkBinSub m:val="--"/>
    <m:smallFrac m:val="off"/>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3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2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zahir</cp:lastModifiedBy>
  <cp:revision>2</cp:revision>
  <dcterms:created xsi:type="dcterms:W3CDTF">2013-06-01T17:54:00Z</dcterms:created>
  <dcterms:modified xsi:type="dcterms:W3CDTF">2013-06-01T17:55:00Z</dcterms:modified>
</cp:coreProperties>
</file>